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8C4" w:rsidRPr="002108C4" w:rsidRDefault="002108C4" w:rsidP="002108C4">
      <w:pPr>
        <w:widowControl/>
        <w:spacing w:line="360" w:lineRule="auto"/>
        <w:jc w:val="center"/>
        <w:rPr>
          <w:rFonts w:ascii="黑体" w:eastAsia="黑体" w:hAnsi="黑体" w:cs="宋体"/>
          <w:b/>
          <w:bCs/>
          <w:color w:val="000000"/>
          <w:kern w:val="0"/>
          <w:sz w:val="32"/>
          <w:szCs w:val="32"/>
        </w:rPr>
      </w:pPr>
      <w:r w:rsidRPr="002108C4">
        <w:rPr>
          <w:rFonts w:ascii="黑体" w:eastAsia="黑体" w:hAnsi="黑体" w:cs="宋体" w:hint="eastAsia"/>
          <w:b/>
          <w:bCs/>
          <w:color w:val="000000"/>
          <w:kern w:val="0"/>
          <w:sz w:val="32"/>
          <w:szCs w:val="32"/>
        </w:rPr>
        <w:t>电子竞价风险告知</w:t>
      </w:r>
      <w:r w:rsidR="007C7C8E">
        <w:rPr>
          <w:rFonts w:ascii="黑体" w:eastAsia="黑体" w:hAnsi="黑体" w:cs="宋体" w:hint="eastAsia"/>
          <w:b/>
          <w:bCs/>
          <w:color w:val="000000"/>
          <w:kern w:val="0"/>
          <w:sz w:val="32"/>
          <w:szCs w:val="32"/>
        </w:rPr>
        <w:t>书</w:t>
      </w:r>
    </w:p>
    <w:p w:rsidR="002108C4" w:rsidRPr="002108C4" w:rsidRDefault="002108C4" w:rsidP="002108C4">
      <w:pPr>
        <w:widowControl/>
        <w:shd w:val="clear" w:color="auto" w:fill="FFFFFF"/>
        <w:adjustRightInd w:val="0"/>
        <w:ind w:firstLineChars="200" w:firstLine="480"/>
        <w:rPr>
          <w:rFonts w:ascii="仿宋_GB2312" w:eastAsia="仿宋_GB2312" w:hAnsi="宋体" w:cs="宋体"/>
          <w:color w:val="000000"/>
          <w:kern w:val="0"/>
          <w:sz w:val="24"/>
          <w:szCs w:val="24"/>
        </w:rPr>
      </w:pPr>
      <w:r w:rsidRPr="002108C4">
        <w:rPr>
          <w:rFonts w:ascii="仿宋_GB2312" w:eastAsia="仿宋_GB2312" w:hAnsi="宋体" w:cs="宋体" w:hint="eastAsia"/>
          <w:color w:val="000000"/>
          <w:kern w:val="0"/>
          <w:sz w:val="24"/>
          <w:szCs w:val="24"/>
        </w:rPr>
        <w:t xml:space="preserve"> </w:t>
      </w:r>
      <w:bookmarkStart w:id="0" w:name="_GoBack"/>
      <w:bookmarkEnd w:id="0"/>
    </w:p>
    <w:p w:rsidR="002108C4" w:rsidRPr="002108C4" w:rsidRDefault="002108C4" w:rsidP="002108C4">
      <w:pPr>
        <w:widowControl/>
        <w:shd w:val="clear" w:color="auto" w:fill="FFFFFF"/>
        <w:adjustRightInd w:val="0"/>
        <w:spacing w:line="340" w:lineRule="exact"/>
        <w:ind w:firstLineChars="200" w:firstLine="480"/>
        <w:rPr>
          <w:rFonts w:ascii="仿宋_GB2312" w:eastAsia="仿宋_GB2312" w:hAnsi="宋体" w:cs="宋体"/>
          <w:color w:val="000000"/>
          <w:kern w:val="0"/>
          <w:sz w:val="24"/>
          <w:szCs w:val="24"/>
        </w:rPr>
      </w:pPr>
      <w:r w:rsidRPr="002108C4">
        <w:rPr>
          <w:rFonts w:ascii="仿宋_GB2312" w:eastAsia="仿宋_GB2312" w:hAnsi="宋体" w:cs="宋体" w:hint="eastAsia"/>
          <w:color w:val="000000"/>
          <w:kern w:val="0"/>
          <w:sz w:val="24"/>
          <w:szCs w:val="24"/>
        </w:rPr>
        <w:t xml:space="preserve">在使用竞价服务大厅前，请您务必仔细阅读并透彻理解《本平台竞价规则》及本声明内容。若您经过综合评判后，仍然能够接受包括但不限于已经披露的如下风险，请予以确认。 </w:t>
      </w:r>
    </w:p>
    <w:p w:rsidR="002108C4" w:rsidRPr="002108C4" w:rsidRDefault="002108C4" w:rsidP="002108C4">
      <w:pPr>
        <w:widowControl/>
        <w:shd w:val="clear" w:color="auto" w:fill="FFFFFF"/>
        <w:adjustRightInd w:val="0"/>
        <w:spacing w:line="340" w:lineRule="exact"/>
        <w:ind w:firstLineChars="200" w:firstLine="480"/>
        <w:rPr>
          <w:rFonts w:ascii="仿宋_GB2312" w:eastAsia="仿宋_GB2312" w:hAnsi="宋体" w:cs="宋体"/>
          <w:color w:val="000000"/>
          <w:kern w:val="0"/>
          <w:sz w:val="24"/>
          <w:szCs w:val="24"/>
        </w:rPr>
      </w:pPr>
      <w:r w:rsidRPr="002108C4">
        <w:rPr>
          <w:rFonts w:ascii="仿宋_GB2312" w:eastAsia="仿宋_GB2312" w:hAnsi="宋体" w:cs="宋体" w:hint="eastAsia"/>
          <w:color w:val="000000"/>
          <w:kern w:val="0"/>
          <w:sz w:val="24"/>
          <w:szCs w:val="24"/>
        </w:rPr>
        <w:t>一、本平台（以下简称“本平台”）衷心地欢迎广大意向竞价人，投资者参与到竞价服务大厅中来，但是本平台不保证</w:t>
      </w:r>
      <w:proofErr w:type="gramStart"/>
      <w:r w:rsidRPr="002108C4">
        <w:rPr>
          <w:rFonts w:ascii="仿宋_GB2312" w:eastAsia="仿宋_GB2312" w:hAnsi="宋体" w:cs="宋体" w:hint="eastAsia"/>
          <w:color w:val="000000"/>
          <w:kern w:val="0"/>
          <w:sz w:val="24"/>
          <w:szCs w:val="24"/>
        </w:rPr>
        <w:t>您发布</w:t>
      </w:r>
      <w:proofErr w:type="gramEnd"/>
      <w:r w:rsidRPr="002108C4">
        <w:rPr>
          <w:rFonts w:ascii="仿宋_GB2312" w:eastAsia="仿宋_GB2312" w:hAnsi="宋体" w:cs="宋体" w:hint="eastAsia"/>
          <w:color w:val="000000"/>
          <w:kern w:val="0"/>
          <w:sz w:val="24"/>
          <w:szCs w:val="24"/>
        </w:rPr>
        <w:t>的项目信息或投资需求信息一定可以完成交易。</w:t>
      </w:r>
    </w:p>
    <w:p w:rsidR="002108C4" w:rsidRPr="002108C4" w:rsidRDefault="002108C4" w:rsidP="002108C4">
      <w:pPr>
        <w:widowControl/>
        <w:shd w:val="clear" w:color="auto" w:fill="FFFFFF"/>
        <w:adjustRightInd w:val="0"/>
        <w:spacing w:line="340" w:lineRule="exact"/>
        <w:ind w:firstLineChars="200" w:firstLine="480"/>
        <w:rPr>
          <w:rFonts w:ascii="仿宋_GB2312" w:eastAsia="仿宋_GB2312" w:hAnsi="宋体" w:cs="宋体"/>
          <w:color w:val="000000"/>
          <w:kern w:val="0"/>
          <w:sz w:val="24"/>
          <w:szCs w:val="24"/>
        </w:rPr>
      </w:pPr>
      <w:r w:rsidRPr="002108C4">
        <w:rPr>
          <w:rFonts w:ascii="仿宋_GB2312" w:eastAsia="仿宋_GB2312" w:hAnsi="宋体" w:cs="宋体" w:hint="eastAsia"/>
          <w:color w:val="000000"/>
          <w:kern w:val="0"/>
          <w:sz w:val="24"/>
          <w:szCs w:val="24"/>
        </w:rPr>
        <w:t>二、竞价服务大厅提供的仅是平台竞价服务，交易信息由参与各方（包括委托人和意向竞价人及其被委托人）提供，信息提供方应保证提供的信息真实、准确、完整，该信息包括但不限于交易标的基本信息、标的权属、标的</w:t>
      </w:r>
      <w:proofErr w:type="gramStart"/>
      <w:r w:rsidRPr="002108C4">
        <w:rPr>
          <w:rFonts w:ascii="仿宋_GB2312" w:eastAsia="仿宋_GB2312" w:hAnsi="宋体" w:cs="宋体" w:hint="eastAsia"/>
          <w:color w:val="000000"/>
          <w:kern w:val="0"/>
          <w:sz w:val="24"/>
          <w:szCs w:val="24"/>
        </w:rPr>
        <w:t>的</w:t>
      </w:r>
      <w:proofErr w:type="gramEnd"/>
      <w:r w:rsidRPr="002108C4">
        <w:rPr>
          <w:rFonts w:ascii="仿宋_GB2312" w:eastAsia="仿宋_GB2312" w:hAnsi="宋体" w:cs="宋体" w:hint="eastAsia"/>
          <w:color w:val="000000"/>
          <w:kern w:val="0"/>
          <w:sz w:val="24"/>
          <w:szCs w:val="24"/>
        </w:rPr>
        <w:t>描述和说明、竞价条件、相关图片、视讯、联系人及联络信息等。</w:t>
      </w:r>
    </w:p>
    <w:p w:rsidR="002108C4" w:rsidRPr="002108C4" w:rsidRDefault="002108C4" w:rsidP="002108C4">
      <w:pPr>
        <w:widowControl/>
        <w:shd w:val="clear" w:color="auto" w:fill="FFFFFF"/>
        <w:adjustRightInd w:val="0"/>
        <w:spacing w:line="340" w:lineRule="exact"/>
        <w:ind w:firstLineChars="200" w:firstLine="480"/>
        <w:rPr>
          <w:rFonts w:ascii="仿宋_GB2312" w:eastAsia="仿宋_GB2312" w:hAnsi="宋体" w:cs="宋体"/>
          <w:color w:val="000000"/>
          <w:kern w:val="0"/>
          <w:sz w:val="24"/>
          <w:szCs w:val="24"/>
        </w:rPr>
      </w:pPr>
      <w:r w:rsidRPr="002108C4">
        <w:rPr>
          <w:rFonts w:ascii="仿宋_GB2312" w:eastAsia="仿宋_GB2312" w:hAnsi="宋体" w:cs="宋体" w:hint="eastAsia"/>
          <w:color w:val="000000"/>
          <w:kern w:val="0"/>
          <w:sz w:val="24"/>
          <w:szCs w:val="24"/>
        </w:rPr>
        <w:t>三、因信息提供方（包括委托人和意向竞价人及其被委托人）提交（包括通过网站录入及电子邮件、传真、扫描等方式提供）的信息、数据不真实或违反相关法律法规而导致的任何责任均由信息提供方承担，本平台不承担任何法律责任。</w:t>
      </w:r>
    </w:p>
    <w:p w:rsidR="002108C4" w:rsidRPr="002108C4" w:rsidRDefault="002108C4" w:rsidP="002108C4">
      <w:pPr>
        <w:widowControl/>
        <w:shd w:val="clear" w:color="auto" w:fill="FFFFFF"/>
        <w:adjustRightInd w:val="0"/>
        <w:spacing w:line="340" w:lineRule="exact"/>
        <w:ind w:firstLineChars="200" w:firstLine="480"/>
        <w:rPr>
          <w:rFonts w:ascii="仿宋_GB2312" w:eastAsia="仿宋_GB2312" w:hAnsi="宋体" w:cs="宋体"/>
          <w:color w:val="000000"/>
          <w:kern w:val="0"/>
          <w:sz w:val="24"/>
          <w:szCs w:val="24"/>
        </w:rPr>
      </w:pPr>
      <w:r w:rsidRPr="002108C4">
        <w:rPr>
          <w:rFonts w:ascii="仿宋_GB2312" w:eastAsia="仿宋_GB2312" w:hAnsi="宋体" w:cs="宋体" w:hint="eastAsia"/>
          <w:color w:val="000000"/>
          <w:kern w:val="0"/>
          <w:sz w:val="24"/>
          <w:szCs w:val="24"/>
        </w:rPr>
        <w:t>四、参与电子竞价的各方对自身的注册账户安全负责，任何使用参与电子竞价各方用户名和密码登录网络竞价大厅的用户，在网络竞价大厅的一切行为均视为参与电子竞价各方的行为，由参与电子竞价各方负责，本平台不承担任何责任。</w:t>
      </w:r>
    </w:p>
    <w:p w:rsidR="002108C4" w:rsidRPr="002108C4" w:rsidRDefault="002108C4" w:rsidP="002108C4">
      <w:pPr>
        <w:widowControl/>
        <w:shd w:val="clear" w:color="auto" w:fill="FFFFFF"/>
        <w:adjustRightInd w:val="0"/>
        <w:spacing w:line="340" w:lineRule="exact"/>
        <w:ind w:firstLineChars="200" w:firstLine="480"/>
        <w:rPr>
          <w:rFonts w:ascii="仿宋_GB2312" w:eastAsia="仿宋_GB2312" w:hAnsi="宋体" w:cs="宋体"/>
          <w:color w:val="000000"/>
          <w:kern w:val="0"/>
          <w:sz w:val="24"/>
          <w:szCs w:val="24"/>
        </w:rPr>
      </w:pPr>
      <w:r w:rsidRPr="002108C4">
        <w:rPr>
          <w:rFonts w:ascii="仿宋_GB2312" w:eastAsia="仿宋_GB2312" w:hAnsi="宋体" w:cs="宋体" w:hint="eastAsia"/>
          <w:color w:val="000000"/>
          <w:kern w:val="0"/>
          <w:sz w:val="24"/>
          <w:szCs w:val="24"/>
        </w:rPr>
        <w:t>五、由于您自身的终端设备、网络异常、不当操作等原因导致网站服务异常的，本平台不承担任何法律责任。</w:t>
      </w:r>
    </w:p>
    <w:p w:rsidR="002108C4" w:rsidRPr="002108C4" w:rsidRDefault="002108C4" w:rsidP="002108C4">
      <w:pPr>
        <w:widowControl/>
        <w:shd w:val="clear" w:color="auto" w:fill="FFFFFF"/>
        <w:adjustRightInd w:val="0"/>
        <w:spacing w:line="340" w:lineRule="exact"/>
        <w:ind w:firstLineChars="200" w:firstLine="480"/>
        <w:rPr>
          <w:rFonts w:ascii="仿宋_GB2312" w:eastAsia="仿宋_GB2312" w:hAnsi="宋体" w:cs="宋体"/>
          <w:color w:val="000000"/>
          <w:kern w:val="0"/>
          <w:sz w:val="24"/>
          <w:szCs w:val="24"/>
        </w:rPr>
      </w:pPr>
      <w:r w:rsidRPr="002108C4">
        <w:rPr>
          <w:rFonts w:ascii="仿宋_GB2312" w:eastAsia="仿宋_GB2312" w:hAnsi="宋体" w:cs="宋体" w:hint="eastAsia"/>
          <w:color w:val="000000"/>
          <w:kern w:val="0"/>
          <w:sz w:val="24"/>
          <w:szCs w:val="24"/>
        </w:rPr>
        <w:t>六、因不可抗力、软硬件故障、非法入侵、恶意攻击等原因而导致网站服务异常的，本平台不承担任何法律责任。</w:t>
      </w:r>
    </w:p>
    <w:p w:rsidR="002108C4" w:rsidRPr="002108C4" w:rsidRDefault="002108C4" w:rsidP="002108C4">
      <w:pPr>
        <w:widowControl/>
        <w:shd w:val="clear" w:color="auto" w:fill="FFFFFF"/>
        <w:adjustRightInd w:val="0"/>
        <w:spacing w:line="340" w:lineRule="exact"/>
        <w:ind w:firstLineChars="200" w:firstLine="480"/>
        <w:rPr>
          <w:rFonts w:ascii="仿宋_GB2312" w:eastAsia="仿宋_GB2312" w:hAnsi="宋体" w:cs="宋体"/>
          <w:color w:val="000000"/>
          <w:kern w:val="0"/>
          <w:sz w:val="24"/>
          <w:szCs w:val="24"/>
        </w:rPr>
      </w:pPr>
      <w:r w:rsidRPr="002108C4">
        <w:rPr>
          <w:rFonts w:ascii="仿宋_GB2312" w:eastAsia="仿宋_GB2312" w:hAnsi="宋体" w:cs="宋体" w:hint="eastAsia"/>
          <w:color w:val="000000"/>
          <w:kern w:val="0"/>
          <w:sz w:val="24"/>
          <w:szCs w:val="24"/>
        </w:rPr>
        <w:t>七、本平台不承担由参与各方（包括委托人和意向竞价人及其被委托人）之间签署的协议所产生的任何影响与后果。</w:t>
      </w:r>
    </w:p>
    <w:p w:rsidR="002108C4" w:rsidRPr="002108C4" w:rsidRDefault="002108C4" w:rsidP="002108C4">
      <w:pPr>
        <w:widowControl/>
        <w:shd w:val="clear" w:color="auto" w:fill="FFFFFF"/>
        <w:adjustRightInd w:val="0"/>
        <w:spacing w:line="340" w:lineRule="exact"/>
        <w:ind w:firstLineChars="200" w:firstLine="480"/>
        <w:rPr>
          <w:rFonts w:ascii="仿宋_GB2312" w:eastAsia="仿宋_GB2312" w:hAnsi="宋体" w:cs="宋体"/>
          <w:color w:val="000000"/>
          <w:kern w:val="0"/>
          <w:sz w:val="24"/>
          <w:szCs w:val="24"/>
        </w:rPr>
      </w:pPr>
      <w:r w:rsidRPr="002108C4">
        <w:rPr>
          <w:rFonts w:ascii="仿宋_GB2312" w:eastAsia="仿宋_GB2312" w:hAnsi="宋体" w:cs="宋体" w:hint="eastAsia"/>
          <w:color w:val="000000"/>
          <w:kern w:val="0"/>
          <w:sz w:val="24"/>
          <w:szCs w:val="24"/>
        </w:rPr>
        <w:t>八、本平台不承担由电子竞价行为相关方之间签署的相关交易文件所产生的任何影响与后果。</w:t>
      </w:r>
    </w:p>
    <w:p w:rsidR="002108C4" w:rsidRPr="002108C4" w:rsidRDefault="002108C4" w:rsidP="002108C4">
      <w:pPr>
        <w:widowControl/>
        <w:adjustRightInd w:val="0"/>
        <w:spacing w:line="340" w:lineRule="exact"/>
        <w:ind w:firstLineChars="200" w:firstLine="480"/>
        <w:rPr>
          <w:rFonts w:ascii="仿宋_GB2312" w:eastAsia="仿宋_GB2312" w:hAnsi="宋体" w:cs="宋体"/>
          <w:color w:val="000000"/>
          <w:kern w:val="0"/>
          <w:sz w:val="24"/>
          <w:szCs w:val="24"/>
        </w:rPr>
      </w:pPr>
      <w:r w:rsidRPr="002108C4">
        <w:rPr>
          <w:rFonts w:ascii="仿宋_GB2312" w:eastAsia="仿宋_GB2312" w:hAnsi="宋体" w:cs="Times New Roman" w:hint="eastAsia"/>
          <w:color w:val="000000"/>
          <w:sz w:val="24"/>
          <w:szCs w:val="24"/>
        </w:rPr>
        <w:t>九、</w:t>
      </w:r>
      <w:r w:rsidRPr="002108C4">
        <w:rPr>
          <w:rFonts w:ascii="仿宋_GB2312" w:eastAsia="仿宋_GB2312" w:hAnsi="宋体" w:cs="宋体" w:hint="eastAsia"/>
          <w:color w:val="000000"/>
          <w:kern w:val="0"/>
          <w:sz w:val="24"/>
          <w:szCs w:val="24"/>
        </w:rPr>
        <w:t>为尽可能避免系统风险，我们建议采用如下列出的操作系统及软件参与竞价：</w:t>
      </w:r>
    </w:p>
    <w:tbl>
      <w:tblPr>
        <w:tblW w:w="7258" w:type="dxa"/>
        <w:jc w:val="center"/>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3133"/>
        <w:gridCol w:w="4125"/>
      </w:tblGrid>
      <w:tr w:rsidR="002108C4" w:rsidRPr="002108C4" w:rsidTr="00260589">
        <w:trPr>
          <w:trHeight w:val="204"/>
          <w:jc w:val="center"/>
        </w:trPr>
        <w:tc>
          <w:tcPr>
            <w:tcW w:w="3133" w:type="dxa"/>
            <w:tcBorders>
              <w:top w:val="inset" w:sz="6" w:space="0" w:color="auto"/>
              <w:left w:val="inset" w:sz="6" w:space="0" w:color="auto"/>
              <w:bottom w:val="inset" w:sz="6" w:space="0" w:color="auto"/>
              <w:right w:val="inset" w:sz="6" w:space="0" w:color="auto"/>
            </w:tcBorders>
            <w:shd w:val="clear" w:color="auto" w:fill="DDDDDD"/>
            <w:vAlign w:val="center"/>
          </w:tcPr>
          <w:p w:rsidR="002108C4" w:rsidRPr="002108C4" w:rsidRDefault="002108C4" w:rsidP="002108C4">
            <w:pPr>
              <w:widowControl/>
              <w:spacing w:line="340" w:lineRule="exact"/>
              <w:jc w:val="center"/>
              <w:rPr>
                <w:rFonts w:ascii="宋体" w:eastAsia="仿宋_GB2312" w:hAnsi="宋体" w:cs="Times New Roman"/>
                <w:color w:val="000000"/>
                <w:kern w:val="0"/>
                <w:sz w:val="24"/>
                <w:szCs w:val="24"/>
              </w:rPr>
            </w:pPr>
            <w:r w:rsidRPr="002108C4">
              <w:rPr>
                <w:rFonts w:ascii="宋体" w:eastAsia="仿宋_GB2312" w:hAnsi="宋体" w:cs="Times New Roman" w:hint="eastAsia"/>
                <w:color w:val="000000"/>
                <w:kern w:val="0"/>
                <w:sz w:val="24"/>
                <w:szCs w:val="24"/>
              </w:rPr>
              <w:t>操作系统</w:t>
            </w:r>
          </w:p>
        </w:tc>
        <w:tc>
          <w:tcPr>
            <w:tcW w:w="4125" w:type="dxa"/>
            <w:tcBorders>
              <w:top w:val="inset" w:sz="6" w:space="0" w:color="auto"/>
              <w:left w:val="nil"/>
              <w:bottom w:val="inset" w:sz="6" w:space="0" w:color="auto"/>
              <w:right w:val="inset" w:sz="6" w:space="0" w:color="auto"/>
            </w:tcBorders>
            <w:shd w:val="clear" w:color="auto" w:fill="DDDDDD"/>
            <w:vAlign w:val="center"/>
          </w:tcPr>
          <w:p w:rsidR="002108C4" w:rsidRPr="002108C4" w:rsidRDefault="002108C4" w:rsidP="002108C4">
            <w:pPr>
              <w:widowControl/>
              <w:spacing w:line="340" w:lineRule="exact"/>
              <w:jc w:val="center"/>
              <w:rPr>
                <w:rFonts w:ascii="宋体" w:eastAsia="仿宋_GB2312" w:hAnsi="宋体" w:cs="Times New Roman"/>
                <w:color w:val="000000"/>
                <w:kern w:val="0"/>
                <w:sz w:val="24"/>
                <w:szCs w:val="24"/>
              </w:rPr>
            </w:pPr>
            <w:r w:rsidRPr="002108C4">
              <w:rPr>
                <w:rFonts w:ascii="宋体" w:eastAsia="仿宋_GB2312" w:hAnsi="宋体" w:cs="Times New Roman" w:hint="eastAsia"/>
                <w:color w:val="000000"/>
                <w:kern w:val="0"/>
                <w:sz w:val="24"/>
                <w:szCs w:val="24"/>
              </w:rPr>
              <w:t>浏览器</w:t>
            </w:r>
          </w:p>
        </w:tc>
      </w:tr>
      <w:tr w:rsidR="002108C4" w:rsidRPr="002108C4" w:rsidTr="00260589">
        <w:trPr>
          <w:trHeight w:val="789"/>
          <w:jc w:val="center"/>
        </w:trPr>
        <w:tc>
          <w:tcPr>
            <w:tcW w:w="3133" w:type="dxa"/>
            <w:tcBorders>
              <w:top w:val="inset" w:sz="6" w:space="0" w:color="auto"/>
              <w:left w:val="inset" w:sz="6" w:space="0" w:color="auto"/>
              <w:bottom w:val="inset" w:sz="6" w:space="0" w:color="auto"/>
              <w:right w:val="inset" w:sz="6" w:space="0" w:color="auto"/>
            </w:tcBorders>
            <w:vAlign w:val="center"/>
          </w:tcPr>
          <w:p w:rsidR="002108C4" w:rsidRPr="002108C4" w:rsidRDefault="002108C4" w:rsidP="002108C4">
            <w:pPr>
              <w:widowControl/>
              <w:spacing w:line="340" w:lineRule="exact"/>
              <w:jc w:val="center"/>
              <w:rPr>
                <w:rFonts w:ascii="宋体" w:eastAsia="仿宋_GB2312" w:hAnsi="宋体" w:cs="Times New Roman"/>
                <w:color w:val="000000"/>
                <w:kern w:val="0"/>
                <w:sz w:val="24"/>
                <w:szCs w:val="24"/>
              </w:rPr>
            </w:pPr>
            <w:r w:rsidRPr="002108C4">
              <w:rPr>
                <w:rFonts w:ascii="宋体" w:eastAsia="仿宋_GB2312" w:hAnsi="宋体" w:cs="Times New Roman" w:hint="eastAsia"/>
                <w:color w:val="000000"/>
                <w:kern w:val="0"/>
                <w:sz w:val="24"/>
                <w:szCs w:val="24"/>
              </w:rPr>
              <w:t>Windows XP SP2</w:t>
            </w:r>
          </w:p>
          <w:p w:rsidR="002108C4" w:rsidRPr="002108C4" w:rsidRDefault="002108C4" w:rsidP="002108C4">
            <w:pPr>
              <w:widowControl/>
              <w:spacing w:line="340" w:lineRule="exact"/>
              <w:jc w:val="center"/>
              <w:rPr>
                <w:rFonts w:ascii="宋体" w:eastAsia="仿宋_GB2312" w:hAnsi="宋体" w:cs="Times New Roman"/>
                <w:color w:val="000000"/>
                <w:kern w:val="0"/>
                <w:sz w:val="24"/>
                <w:szCs w:val="24"/>
              </w:rPr>
            </w:pPr>
            <w:r w:rsidRPr="002108C4">
              <w:rPr>
                <w:rFonts w:ascii="宋体" w:eastAsia="仿宋_GB2312" w:hAnsi="宋体" w:cs="Times New Roman" w:hint="eastAsia"/>
                <w:color w:val="000000"/>
                <w:kern w:val="0"/>
                <w:sz w:val="24"/>
                <w:szCs w:val="24"/>
              </w:rPr>
              <w:t>Windows 7</w:t>
            </w:r>
          </w:p>
        </w:tc>
        <w:tc>
          <w:tcPr>
            <w:tcW w:w="4125" w:type="dxa"/>
            <w:tcBorders>
              <w:top w:val="inset" w:sz="6" w:space="0" w:color="auto"/>
              <w:left w:val="nil"/>
              <w:bottom w:val="inset" w:sz="6" w:space="0" w:color="auto"/>
              <w:right w:val="inset" w:sz="6" w:space="0" w:color="auto"/>
            </w:tcBorders>
            <w:vAlign w:val="center"/>
          </w:tcPr>
          <w:p w:rsidR="002108C4" w:rsidRPr="002108C4" w:rsidRDefault="002108C4" w:rsidP="002108C4">
            <w:pPr>
              <w:widowControl/>
              <w:spacing w:line="340" w:lineRule="exact"/>
              <w:jc w:val="center"/>
              <w:rPr>
                <w:rFonts w:ascii="宋体" w:eastAsia="仿宋_GB2312" w:hAnsi="宋体" w:cs="Times New Roman"/>
                <w:color w:val="000000"/>
                <w:kern w:val="0"/>
                <w:sz w:val="24"/>
                <w:szCs w:val="24"/>
              </w:rPr>
            </w:pPr>
            <w:r w:rsidRPr="002108C4">
              <w:rPr>
                <w:rFonts w:ascii="宋体" w:eastAsia="仿宋_GB2312" w:hAnsi="宋体" w:cs="Times New Roman" w:hint="eastAsia"/>
                <w:color w:val="000000"/>
                <w:kern w:val="0"/>
                <w:sz w:val="24"/>
                <w:szCs w:val="24"/>
              </w:rPr>
              <w:t>Internet Explorer 8.0</w:t>
            </w:r>
            <w:r w:rsidRPr="002108C4">
              <w:rPr>
                <w:rFonts w:ascii="宋体" w:eastAsia="仿宋_GB2312" w:hAnsi="宋体" w:cs="宋体" w:hint="eastAsia"/>
                <w:color w:val="000000"/>
                <w:kern w:val="0"/>
                <w:sz w:val="24"/>
                <w:szCs w:val="24"/>
              </w:rPr>
              <w:t>及以上版本</w:t>
            </w:r>
          </w:p>
        </w:tc>
      </w:tr>
    </w:tbl>
    <w:p w:rsidR="002108C4" w:rsidRPr="002108C4" w:rsidRDefault="002108C4" w:rsidP="002108C4">
      <w:pPr>
        <w:widowControl/>
        <w:adjustRightInd w:val="0"/>
        <w:spacing w:line="340" w:lineRule="exact"/>
        <w:ind w:firstLineChars="200" w:firstLine="480"/>
        <w:rPr>
          <w:rFonts w:ascii="仿宋_GB2312" w:eastAsia="仿宋_GB2312" w:hAnsi="宋体" w:cs="宋体"/>
          <w:color w:val="000000"/>
          <w:kern w:val="0"/>
          <w:sz w:val="24"/>
          <w:szCs w:val="24"/>
        </w:rPr>
      </w:pPr>
      <w:r w:rsidRPr="002108C4">
        <w:rPr>
          <w:rFonts w:ascii="仿宋_GB2312" w:eastAsia="仿宋_GB2312" w:hAnsi="宋体" w:cs="宋体" w:hint="eastAsia"/>
          <w:color w:val="000000"/>
          <w:kern w:val="0"/>
          <w:sz w:val="24"/>
          <w:szCs w:val="24"/>
        </w:rPr>
        <w:t>使用注意事项：</w:t>
      </w:r>
    </w:p>
    <w:p w:rsidR="002108C4" w:rsidRPr="002108C4" w:rsidRDefault="002108C4" w:rsidP="002108C4">
      <w:pPr>
        <w:widowControl/>
        <w:adjustRightInd w:val="0"/>
        <w:spacing w:line="340" w:lineRule="exact"/>
        <w:ind w:firstLineChars="200" w:firstLine="480"/>
        <w:rPr>
          <w:rFonts w:ascii="仿宋_GB2312" w:eastAsia="仿宋_GB2312" w:hAnsi="宋体" w:cs="宋体"/>
          <w:color w:val="000000"/>
          <w:kern w:val="0"/>
          <w:sz w:val="24"/>
          <w:szCs w:val="24"/>
        </w:rPr>
      </w:pPr>
      <w:r w:rsidRPr="002108C4">
        <w:rPr>
          <w:rFonts w:ascii="仿宋_GB2312" w:eastAsia="仿宋_GB2312" w:hAnsi="宋体" w:cs="宋体" w:hint="eastAsia"/>
          <w:color w:val="000000"/>
          <w:kern w:val="0"/>
          <w:sz w:val="24"/>
          <w:szCs w:val="24"/>
        </w:rPr>
        <w:t>（1）定期对浏览器进行插件扫描，卸载不必要的插件。</w:t>
      </w:r>
    </w:p>
    <w:p w:rsidR="002108C4" w:rsidRPr="002108C4" w:rsidRDefault="002108C4" w:rsidP="002108C4">
      <w:pPr>
        <w:widowControl/>
        <w:adjustRightInd w:val="0"/>
        <w:spacing w:line="340" w:lineRule="exact"/>
        <w:ind w:firstLineChars="200" w:firstLine="480"/>
        <w:rPr>
          <w:rFonts w:ascii="仿宋_GB2312" w:eastAsia="仿宋_GB2312" w:hAnsi="宋体" w:cs="宋体"/>
          <w:color w:val="000000"/>
          <w:kern w:val="0"/>
          <w:sz w:val="24"/>
          <w:szCs w:val="24"/>
        </w:rPr>
      </w:pPr>
      <w:r w:rsidRPr="002108C4">
        <w:rPr>
          <w:rFonts w:ascii="仿宋_GB2312" w:eastAsia="仿宋_GB2312" w:hAnsi="宋体" w:cs="宋体" w:hint="eastAsia"/>
          <w:color w:val="000000"/>
          <w:kern w:val="0"/>
          <w:sz w:val="24"/>
          <w:szCs w:val="24"/>
        </w:rPr>
        <w:t>（2）定期对系统进行病毒检测。</w:t>
      </w:r>
    </w:p>
    <w:p w:rsidR="002108C4" w:rsidRPr="002108C4" w:rsidRDefault="002108C4" w:rsidP="002108C4">
      <w:pPr>
        <w:widowControl/>
        <w:adjustRightInd w:val="0"/>
        <w:spacing w:line="340" w:lineRule="exact"/>
        <w:ind w:firstLineChars="200" w:firstLine="480"/>
        <w:rPr>
          <w:rFonts w:ascii="仿宋_GB2312" w:eastAsia="仿宋_GB2312" w:hAnsi="宋体" w:cs="宋体"/>
          <w:color w:val="000000"/>
          <w:kern w:val="0"/>
          <w:sz w:val="24"/>
          <w:szCs w:val="24"/>
        </w:rPr>
      </w:pPr>
      <w:r w:rsidRPr="002108C4">
        <w:rPr>
          <w:rFonts w:ascii="仿宋_GB2312" w:eastAsia="仿宋_GB2312" w:hAnsi="宋体" w:cs="宋体" w:hint="eastAsia"/>
          <w:color w:val="000000"/>
          <w:kern w:val="0"/>
          <w:sz w:val="24"/>
          <w:szCs w:val="24"/>
        </w:rPr>
        <w:t>（3）竞价进入延时阶段后，</w:t>
      </w:r>
      <w:proofErr w:type="gramStart"/>
      <w:r w:rsidRPr="002108C4">
        <w:rPr>
          <w:rFonts w:ascii="仿宋_GB2312" w:eastAsia="仿宋_GB2312" w:hAnsi="宋体" w:cs="宋体" w:hint="eastAsia"/>
          <w:color w:val="000000"/>
          <w:kern w:val="0"/>
          <w:sz w:val="24"/>
          <w:szCs w:val="24"/>
        </w:rPr>
        <w:t>报价请</w:t>
      </w:r>
      <w:proofErr w:type="gramEnd"/>
      <w:r w:rsidRPr="002108C4">
        <w:rPr>
          <w:rFonts w:ascii="仿宋_GB2312" w:eastAsia="仿宋_GB2312" w:hAnsi="宋体" w:cs="宋体" w:hint="eastAsia"/>
          <w:color w:val="000000"/>
          <w:kern w:val="0"/>
          <w:sz w:val="24"/>
          <w:szCs w:val="24"/>
        </w:rPr>
        <w:t>尽量提前，以免突发网络异常情况造成报价不成功而最终导致竞价失败。</w:t>
      </w:r>
    </w:p>
    <w:p w:rsidR="002108C4" w:rsidRPr="002108C4" w:rsidRDefault="002108C4" w:rsidP="002108C4">
      <w:pPr>
        <w:widowControl/>
        <w:adjustRightInd w:val="0"/>
        <w:spacing w:line="340" w:lineRule="exact"/>
        <w:ind w:firstLineChars="200" w:firstLine="480"/>
        <w:rPr>
          <w:rFonts w:ascii="仿宋_GB2312" w:eastAsia="仿宋_GB2312" w:hAnsi="宋体" w:cs="宋体"/>
          <w:color w:val="000000"/>
          <w:kern w:val="0"/>
          <w:sz w:val="24"/>
          <w:szCs w:val="24"/>
        </w:rPr>
      </w:pPr>
      <w:r w:rsidRPr="002108C4">
        <w:rPr>
          <w:rFonts w:ascii="仿宋_GB2312" w:eastAsia="仿宋_GB2312" w:hAnsi="宋体" w:cs="宋体" w:hint="eastAsia"/>
          <w:color w:val="000000"/>
          <w:kern w:val="0"/>
          <w:sz w:val="24"/>
          <w:szCs w:val="24"/>
        </w:rPr>
        <w:t>（4）建议将竞价地址设置为浏览器可信站点。</w:t>
      </w:r>
    </w:p>
    <w:p w:rsidR="002108C4" w:rsidRPr="002108C4" w:rsidRDefault="002108C4" w:rsidP="002108C4">
      <w:pPr>
        <w:widowControl/>
        <w:adjustRightInd w:val="0"/>
        <w:spacing w:line="340" w:lineRule="exact"/>
        <w:ind w:firstLineChars="200" w:firstLine="480"/>
        <w:rPr>
          <w:rFonts w:ascii="仿宋_GB2312" w:eastAsia="仿宋_GB2312" w:hAnsi="宋体" w:cs="宋体"/>
          <w:color w:val="000000"/>
          <w:kern w:val="0"/>
          <w:sz w:val="24"/>
          <w:szCs w:val="24"/>
        </w:rPr>
      </w:pPr>
      <w:r w:rsidRPr="002108C4">
        <w:rPr>
          <w:rFonts w:ascii="仿宋_GB2312" w:eastAsia="仿宋_GB2312" w:hAnsi="宋体" w:cs="宋体" w:hint="eastAsia"/>
          <w:color w:val="000000"/>
          <w:kern w:val="0"/>
          <w:sz w:val="24"/>
          <w:szCs w:val="24"/>
        </w:rPr>
        <w:lastRenderedPageBreak/>
        <w:t>（5）建议在竞价过程中，调低将系统安装的防火墙软件的安全保护级别至不影响系统性能的级别。</w:t>
      </w:r>
    </w:p>
    <w:p w:rsidR="002108C4" w:rsidRPr="002108C4" w:rsidRDefault="002108C4" w:rsidP="002108C4">
      <w:pPr>
        <w:widowControl/>
        <w:adjustRightInd w:val="0"/>
        <w:spacing w:line="340" w:lineRule="exact"/>
        <w:ind w:firstLineChars="200" w:firstLine="480"/>
        <w:rPr>
          <w:rFonts w:ascii="仿宋_GB2312" w:eastAsia="仿宋_GB2312" w:hAnsi="宋体" w:cs="宋体"/>
          <w:color w:val="000000"/>
          <w:kern w:val="0"/>
          <w:sz w:val="24"/>
          <w:szCs w:val="24"/>
        </w:rPr>
      </w:pPr>
      <w:r w:rsidRPr="002108C4">
        <w:rPr>
          <w:rFonts w:ascii="仿宋_GB2312" w:eastAsia="仿宋_GB2312" w:hAnsi="宋体" w:cs="宋体" w:hint="eastAsia"/>
          <w:color w:val="000000"/>
          <w:kern w:val="0"/>
          <w:sz w:val="24"/>
          <w:szCs w:val="24"/>
        </w:rPr>
        <w:t>特此告知。</w:t>
      </w:r>
    </w:p>
    <w:p w:rsidR="00A04D4C" w:rsidRDefault="00A04D4C"/>
    <w:sectPr w:rsidR="00A04D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8C4"/>
    <w:rsid w:val="002108C4"/>
    <w:rsid w:val="007C7C8E"/>
    <w:rsid w:val="00A04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谢俊中</dc:creator>
  <cp:lastModifiedBy>谢俊中</cp:lastModifiedBy>
  <cp:revision>2</cp:revision>
  <dcterms:created xsi:type="dcterms:W3CDTF">2020-07-19T13:43:00Z</dcterms:created>
  <dcterms:modified xsi:type="dcterms:W3CDTF">2020-07-19T14:34:00Z</dcterms:modified>
</cp:coreProperties>
</file>